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A2" w:rsidRPr="008864A2" w:rsidRDefault="008864A2" w:rsidP="008864A2">
      <w:pPr>
        <w:pStyle w:val="ConsPlusNormal"/>
        <w:spacing w:line="360" w:lineRule="exact"/>
        <w:ind w:firstLine="709"/>
        <w:jc w:val="center"/>
        <w:rPr>
          <w:rFonts w:ascii="Times New Roman" w:hAnsi="Times New Roman" w:cs="Times New Roman"/>
          <w:b/>
          <w:sz w:val="28"/>
          <w:szCs w:val="28"/>
        </w:rPr>
      </w:pPr>
      <w:r w:rsidRPr="008864A2">
        <w:rPr>
          <w:rFonts w:ascii="Times New Roman" w:hAnsi="Times New Roman" w:cs="Times New Roman"/>
          <w:b/>
          <w:sz w:val="28"/>
          <w:szCs w:val="28"/>
        </w:rPr>
        <w:t>Условия предоставления субсидий субъектам малого и среднего предпринимательства в условиях отмены единого налога на вмененный доход</w:t>
      </w:r>
    </w:p>
    <w:p w:rsidR="008864A2" w:rsidRDefault="008864A2" w:rsidP="008864A2">
      <w:pPr>
        <w:pStyle w:val="ConsPlusNormal"/>
        <w:spacing w:line="360" w:lineRule="exact"/>
        <w:ind w:firstLine="709"/>
        <w:jc w:val="both"/>
        <w:rPr>
          <w:rFonts w:ascii="Times New Roman" w:hAnsi="Times New Roman" w:cs="Times New Roman"/>
          <w:sz w:val="28"/>
          <w:szCs w:val="28"/>
        </w:rPr>
      </w:pP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Участники отбора на дату, предшествующую дате подачи заявки не более чем на 30 календарных дней, должны соответствовать следующим требованиям:</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bookmarkStart w:id="0" w:name="P67"/>
      <w:bookmarkEnd w:id="0"/>
      <w:r>
        <w:rPr>
          <w:rFonts w:ascii="Times New Roman" w:hAnsi="Times New Roman" w:cs="Times New Roman"/>
          <w:sz w:val="28"/>
          <w:szCs w:val="28"/>
        </w:rPr>
        <w:t>-</w:t>
      </w:r>
      <w:r w:rsidRPr="001F5157">
        <w:rPr>
          <w:rFonts w:ascii="Times New Roman" w:hAnsi="Times New Roman" w:cs="Times New Roman"/>
          <w:sz w:val="28"/>
          <w:szCs w:val="28"/>
        </w:rPr>
        <w:t xml:space="preserve"> соответствовать требованиям, установленным Федеральным </w:t>
      </w:r>
      <w:hyperlink r:id="rId4" w:history="1">
        <w:r w:rsidRPr="001F5157">
          <w:rPr>
            <w:rFonts w:ascii="Times New Roman" w:hAnsi="Times New Roman" w:cs="Times New Roman"/>
            <w:sz w:val="28"/>
            <w:szCs w:val="28"/>
          </w:rPr>
          <w:t>законом</w:t>
        </w:r>
      </w:hyperlink>
      <w:r w:rsidRPr="001F5157">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быть зарегистрированными на территории Пермского муниципального района Пермского края;</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осуществлять деятельность на территории Пермского муниципального района;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у них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соответственно - задолженность по уплате налогов, страховых взносов);</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не являться участниками соглашений о разделе продукции;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не осуществлять предпринимательскую деятельность в сфере игорного бизнеса;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не явля</w:t>
      </w:r>
      <w:r>
        <w:rPr>
          <w:rFonts w:ascii="Times New Roman" w:hAnsi="Times New Roman" w:cs="Times New Roman"/>
          <w:sz w:val="28"/>
          <w:szCs w:val="28"/>
        </w:rPr>
        <w:t>ть</w:t>
      </w:r>
      <w:r w:rsidRPr="001F5157">
        <w:rPr>
          <w:rFonts w:ascii="Times New Roman" w:hAnsi="Times New Roman" w:cs="Times New Roman"/>
          <w:sz w:val="28"/>
          <w:szCs w:val="28"/>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не являться иностранными юридическими лицами, а также российскими юридическими лицами, в уставном (складочном) капитале </w:t>
      </w:r>
      <w:r w:rsidRPr="001F5157">
        <w:rPr>
          <w:rFonts w:ascii="Times New Roman" w:hAnsi="Times New Roman" w:cs="Times New Roman"/>
          <w:sz w:val="28"/>
          <w:szCs w:val="28"/>
        </w:rPr>
        <w:lastRenderedPageBreak/>
        <w:t>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bookmarkStart w:id="1" w:name="P77"/>
      <w:bookmarkEnd w:id="1"/>
      <w:r>
        <w:rPr>
          <w:rFonts w:ascii="Times New Roman" w:hAnsi="Times New Roman" w:cs="Times New Roman"/>
          <w:sz w:val="28"/>
          <w:szCs w:val="28"/>
        </w:rPr>
        <w:t>-</w:t>
      </w:r>
      <w:r w:rsidRPr="001F5157">
        <w:rPr>
          <w:rFonts w:ascii="Times New Roman" w:hAnsi="Times New Roman" w:cs="Times New Roman"/>
          <w:sz w:val="28"/>
          <w:szCs w:val="28"/>
        </w:rPr>
        <w:t xml:space="preserve">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61" w:history="1">
        <w:r w:rsidRPr="001F5157">
          <w:rPr>
            <w:rFonts w:ascii="Times New Roman" w:hAnsi="Times New Roman" w:cs="Times New Roman"/>
            <w:sz w:val="28"/>
            <w:szCs w:val="28"/>
          </w:rPr>
          <w:t>пункте 1.4 раздела 1</w:t>
        </w:r>
      </w:hyperlink>
      <w:r w:rsidRPr="001F5157">
        <w:rPr>
          <w:rFonts w:ascii="Times New Roman" w:hAnsi="Times New Roman" w:cs="Times New Roman"/>
          <w:sz w:val="28"/>
          <w:szCs w:val="28"/>
        </w:rPr>
        <w:t xml:space="preserve"> </w:t>
      </w:r>
      <w:r>
        <w:rPr>
          <w:rFonts w:ascii="Times New Roman" w:hAnsi="Times New Roman" w:cs="Times New Roman"/>
          <w:sz w:val="28"/>
          <w:szCs w:val="28"/>
        </w:rPr>
        <w:t>Положения</w:t>
      </w:r>
      <w:r w:rsidRPr="001F5157">
        <w:rPr>
          <w:rFonts w:ascii="Times New Roman" w:hAnsi="Times New Roman" w:cs="Times New Roman"/>
          <w:sz w:val="28"/>
          <w:szCs w:val="28"/>
        </w:rPr>
        <w:t>;</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Участники отбора также должны соответствовать по состоянию на 31.12.2019 следующим требованиям:</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находиться на системе налогообложения в виде единого налога на вмененный доход для отдельных видов деятельности;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соответствовать условиям, установленным подпунктами 3.1.2-3.1.3 пункта 3.1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Субсидии предоставляются Победителям отбора на следующих условиях:</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bookmarkStart w:id="2" w:name="P80"/>
      <w:bookmarkEnd w:id="2"/>
      <w:r>
        <w:rPr>
          <w:rFonts w:ascii="Times New Roman" w:hAnsi="Times New Roman" w:cs="Times New Roman"/>
          <w:sz w:val="28"/>
          <w:szCs w:val="28"/>
        </w:rPr>
        <w:t>-</w:t>
      </w:r>
      <w:r w:rsidRPr="001F5157">
        <w:rPr>
          <w:rFonts w:ascii="Times New Roman" w:hAnsi="Times New Roman" w:cs="Times New Roman"/>
          <w:sz w:val="28"/>
          <w:szCs w:val="28"/>
        </w:rPr>
        <w:t xml:space="preserve"> своевременного представления оформленных согласно требованиям </w:t>
      </w:r>
      <w:r>
        <w:rPr>
          <w:rFonts w:ascii="Times New Roman" w:hAnsi="Times New Roman" w:cs="Times New Roman"/>
          <w:sz w:val="28"/>
          <w:szCs w:val="28"/>
        </w:rPr>
        <w:t>Положения</w:t>
      </w:r>
      <w:r w:rsidRPr="001F5157">
        <w:rPr>
          <w:rFonts w:ascii="Times New Roman" w:hAnsi="Times New Roman" w:cs="Times New Roman"/>
          <w:sz w:val="28"/>
          <w:szCs w:val="28"/>
        </w:rPr>
        <w:t xml:space="preserve"> документов для предоставления субсидии, в Уполномоченный орган в соответствии с пунктом 4.1 раздела 4 </w:t>
      </w:r>
      <w:r>
        <w:rPr>
          <w:rFonts w:ascii="Times New Roman" w:hAnsi="Times New Roman" w:cs="Times New Roman"/>
          <w:sz w:val="28"/>
          <w:szCs w:val="28"/>
        </w:rPr>
        <w:t>Положения</w:t>
      </w:r>
      <w:r w:rsidRPr="001F5157">
        <w:rPr>
          <w:rFonts w:ascii="Times New Roman" w:hAnsi="Times New Roman" w:cs="Times New Roman"/>
          <w:sz w:val="28"/>
          <w:szCs w:val="28"/>
        </w:rPr>
        <w:t>;</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достоверности представленных документов и указанных в них сведений;</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bookmarkStart w:id="3" w:name="P87"/>
      <w:bookmarkEnd w:id="3"/>
      <w:r>
        <w:rPr>
          <w:rFonts w:ascii="Times New Roman" w:hAnsi="Times New Roman" w:cs="Times New Roman"/>
          <w:sz w:val="28"/>
          <w:szCs w:val="28"/>
        </w:rPr>
        <w:t>-</w:t>
      </w:r>
      <w:r w:rsidRPr="001F5157">
        <w:rPr>
          <w:rFonts w:ascii="Times New Roman" w:hAnsi="Times New Roman" w:cs="Times New Roman"/>
          <w:sz w:val="28"/>
          <w:szCs w:val="28"/>
        </w:rPr>
        <w:t> за последние три года на день подачи заявки не допущено нарушений порядка и условий ранее оказанной поддержки, в том числе в части нецелевого использования субсидий;</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подписания с Уполномоченным органом Соглашения в сроки, установленные </w:t>
      </w:r>
      <w:hyperlink w:anchor="P148" w:history="1">
        <w:r w:rsidRPr="001F5157">
          <w:rPr>
            <w:rFonts w:ascii="Times New Roman" w:hAnsi="Times New Roman" w:cs="Times New Roman"/>
            <w:sz w:val="28"/>
            <w:szCs w:val="28"/>
          </w:rPr>
          <w:t>пунктами 4.16, 4.18 раздела 4</w:t>
        </w:r>
      </w:hyperlink>
      <w:r w:rsidRPr="001F5157">
        <w:rPr>
          <w:rFonts w:ascii="Times New Roman" w:hAnsi="Times New Roman" w:cs="Times New Roman"/>
          <w:sz w:val="28"/>
          <w:szCs w:val="28"/>
        </w:rPr>
        <w:t xml:space="preserve"> </w:t>
      </w:r>
      <w:r>
        <w:rPr>
          <w:rFonts w:ascii="Times New Roman" w:hAnsi="Times New Roman" w:cs="Times New Roman"/>
          <w:sz w:val="28"/>
          <w:szCs w:val="28"/>
        </w:rPr>
        <w:t>Положения</w:t>
      </w:r>
      <w:r w:rsidRPr="001F5157">
        <w:rPr>
          <w:rFonts w:ascii="Times New Roman" w:hAnsi="Times New Roman" w:cs="Times New Roman"/>
          <w:sz w:val="28"/>
          <w:szCs w:val="28"/>
        </w:rPr>
        <w:t>;</w:t>
      </w:r>
    </w:p>
    <w:p w:rsidR="008864A2" w:rsidRPr="001F5157" w:rsidRDefault="008864A2" w:rsidP="008864A2">
      <w:pPr>
        <w:pStyle w:val="a3"/>
        <w:ind w:firstLine="709"/>
        <w:rPr>
          <w:szCs w:val="28"/>
        </w:rPr>
      </w:pPr>
      <w:bookmarkStart w:id="4" w:name="P91"/>
      <w:bookmarkEnd w:id="4"/>
      <w:r>
        <w:rPr>
          <w:szCs w:val="28"/>
        </w:rPr>
        <w:t>-</w:t>
      </w:r>
      <w:r w:rsidRPr="001F5157">
        <w:rPr>
          <w:szCs w:val="28"/>
        </w:rPr>
        <w:t> осуществления предпринимательской деятельности в течение не менее 1 года с момента получения субсидии;</w:t>
      </w:r>
    </w:p>
    <w:p w:rsidR="008864A2" w:rsidRPr="001F5157" w:rsidRDefault="008864A2" w:rsidP="008864A2">
      <w:pPr>
        <w:pStyle w:val="a3"/>
        <w:ind w:firstLine="709"/>
        <w:rPr>
          <w:szCs w:val="28"/>
        </w:rPr>
      </w:pPr>
      <w:r>
        <w:rPr>
          <w:szCs w:val="28"/>
        </w:rPr>
        <w:t>-</w:t>
      </w:r>
      <w:r w:rsidRPr="001F5157">
        <w:rPr>
          <w:szCs w:val="28"/>
        </w:rPr>
        <w:t> </w:t>
      </w:r>
      <w:proofErr w:type="spellStart"/>
      <w:r w:rsidRPr="001F5157">
        <w:rPr>
          <w:szCs w:val="28"/>
        </w:rPr>
        <w:t>неотчуждения</w:t>
      </w:r>
      <w:proofErr w:type="spellEnd"/>
      <w:r w:rsidRPr="001F5157">
        <w:rPr>
          <w:szCs w:val="28"/>
        </w:rPr>
        <w:t xml:space="preserve"> имущества, по которому произведено субсидирование части затрат субъекту малого и среднего предпринимательства в соответствии с Положением, в течение не менее 1 года с момента получения субсидии;</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F5157">
        <w:rPr>
          <w:rFonts w:ascii="Times New Roman" w:hAnsi="Times New Roman" w:cs="Times New Roman"/>
          <w:sz w:val="28"/>
          <w:szCs w:val="28"/>
        </w:rPr>
        <w:t> предоставления согласия на осуществление Уполномоченным органом и органами муниципального финансового контроля проверок соблюдения субъектами малого и среднего предпринимательства условий, целей и порядка предоставления субсидий;</w:t>
      </w:r>
    </w:p>
    <w:p w:rsidR="008864A2" w:rsidRPr="001F5157" w:rsidRDefault="008864A2" w:rsidP="008864A2">
      <w:pPr>
        <w:tabs>
          <w:tab w:val="left" w:pos="1418"/>
        </w:tabs>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предоставления согласия на публикацию (размещение) в информационно-телекоммуникационной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Отбором, а также согласия на обработку персональных данных;</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предоставления отчетности, предусмотренной разделом 5 </w:t>
      </w:r>
      <w:r>
        <w:rPr>
          <w:rFonts w:ascii="Times New Roman" w:hAnsi="Times New Roman" w:cs="Times New Roman"/>
          <w:sz w:val="28"/>
          <w:szCs w:val="28"/>
        </w:rPr>
        <w:t>Положения</w:t>
      </w:r>
      <w:r w:rsidRPr="001F5157">
        <w:rPr>
          <w:rFonts w:ascii="Times New Roman" w:hAnsi="Times New Roman" w:cs="Times New Roman"/>
          <w:sz w:val="28"/>
          <w:szCs w:val="28"/>
        </w:rPr>
        <w:t xml:space="preserve">, в сроки и в порядке, установленные Соглашением и разделом 5 </w:t>
      </w:r>
      <w:r>
        <w:rPr>
          <w:rFonts w:ascii="Times New Roman" w:hAnsi="Times New Roman" w:cs="Times New Roman"/>
          <w:sz w:val="28"/>
          <w:szCs w:val="28"/>
        </w:rPr>
        <w:t>Положения</w:t>
      </w:r>
      <w:r w:rsidRPr="001F5157">
        <w:rPr>
          <w:rFonts w:ascii="Times New Roman" w:hAnsi="Times New Roman" w:cs="Times New Roman"/>
          <w:sz w:val="28"/>
          <w:szCs w:val="28"/>
        </w:rPr>
        <w:t>;</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1F5157">
        <w:rPr>
          <w:rFonts w:ascii="Times New Roman" w:hAnsi="Times New Roman" w:cs="Times New Roman"/>
          <w:sz w:val="28"/>
          <w:szCs w:val="28"/>
        </w:rPr>
        <w:t xml:space="preserve"> достижения значения показателя результативности, указанного в пункте 4.20 раздела 4 </w:t>
      </w:r>
      <w:r>
        <w:rPr>
          <w:rFonts w:ascii="Times New Roman" w:hAnsi="Times New Roman" w:cs="Times New Roman"/>
          <w:sz w:val="28"/>
          <w:szCs w:val="28"/>
        </w:rPr>
        <w:t>Положения</w:t>
      </w:r>
      <w:r w:rsidRPr="001F5157">
        <w:rPr>
          <w:rFonts w:ascii="Times New Roman" w:hAnsi="Times New Roman" w:cs="Times New Roman"/>
          <w:sz w:val="28"/>
          <w:szCs w:val="28"/>
        </w:rPr>
        <w:t xml:space="preserve"> и установленного Соглашением.</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Субсидии предоставляются одному субъекту малого и среднего предпринимательства не чаще одного раза в течение календарного года.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Размер субсидии определяется исходя из 85 % от обоснованных и документально подтвержденных затрат, указанных в пункте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но не более 250,0 тыс. руб. на один субъект малого и среднего предпринимательства.</w:t>
      </w:r>
    </w:p>
    <w:p w:rsidR="008864A2" w:rsidRPr="001F5157" w:rsidRDefault="008864A2" w:rsidP="008864A2">
      <w:pPr>
        <w:pStyle w:val="a3"/>
        <w:ind w:firstLine="709"/>
        <w:rPr>
          <w:color w:val="000000"/>
          <w:szCs w:val="28"/>
        </w:rPr>
      </w:pPr>
      <w:r w:rsidRPr="001F5157">
        <w:rPr>
          <w:color w:val="000000"/>
          <w:szCs w:val="28"/>
        </w:rPr>
        <w:t>Субсидии предоставляется на возмещение части следующих затрат:</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rPr>
        <w:t>- приобретение мебели, оборудования, оргтехники для осуществления предпринимательской деятельности;</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sidRPr="001F5157">
        <w:rPr>
          <w:rFonts w:ascii="Times New Roman" w:hAnsi="Times New Roman" w:cs="Times New Roman"/>
          <w:color w:val="000000"/>
          <w:sz w:val="28"/>
          <w:szCs w:val="28"/>
        </w:rPr>
        <w:t xml:space="preserve">- приобретение контрольно-кассовой техники (далее – ККТ), </w:t>
      </w:r>
      <w:r w:rsidRPr="001F5157">
        <w:rPr>
          <w:rFonts w:ascii="Times New Roman" w:hAnsi="Times New Roman" w:cs="Times New Roman"/>
          <w:color w:val="000000"/>
          <w:sz w:val="28"/>
          <w:szCs w:val="28"/>
          <w:shd w:val="clear" w:color="auto" w:fill="FFFFFF"/>
        </w:rPr>
        <w:t xml:space="preserve">фискального накопителя; программного обеспечения для работы ККТ, фискального накопителя, оплата услуг (выполнение работ) по настройке ККТ, оплата услуг (выполнение работ) по модернизации ККТ; оплата по договору с оператором фискальных данных; приобретение </w:t>
      </w:r>
      <w:r w:rsidRPr="001F5157">
        <w:rPr>
          <w:rFonts w:ascii="Times New Roman" w:hAnsi="Times New Roman" w:cs="Times New Roman"/>
          <w:sz w:val="28"/>
          <w:szCs w:val="28"/>
        </w:rPr>
        <w:t>автоматизированной системы для бланков строгой отчетности;</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rPr>
        <w:t>- оплата услуг в области бухгалтерского учета;</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shd w:val="clear" w:color="auto" w:fill="FFFFFF"/>
        </w:rPr>
      </w:pPr>
      <w:r w:rsidRPr="001F5157">
        <w:rPr>
          <w:rFonts w:ascii="Times New Roman" w:hAnsi="Times New Roman" w:cs="Times New Roman"/>
          <w:color w:val="000000"/>
          <w:sz w:val="28"/>
          <w:szCs w:val="28"/>
        </w:rPr>
        <w:t xml:space="preserve">- приобретение и (или) обновление </w:t>
      </w:r>
      <w:r w:rsidRPr="001F5157">
        <w:rPr>
          <w:rFonts w:ascii="Times New Roman" w:hAnsi="Times New Roman" w:cs="Times New Roman"/>
          <w:color w:val="000000"/>
          <w:sz w:val="28"/>
          <w:szCs w:val="28"/>
          <w:shd w:val="clear" w:color="auto" w:fill="FFFFFF"/>
        </w:rPr>
        <w:t>программного обеспечения для ведения бухгалтерского учета, приобретение права на использование данного программного обеспечения;</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color w:val="000000"/>
          <w:sz w:val="28"/>
          <w:szCs w:val="28"/>
        </w:rPr>
        <w:t xml:space="preserve">- оплата услуг по предоставлению (изготовлению) </w:t>
      </w:r>
      <w:r w:rsidRPr="001F5157">
        <w:rPr>
          <w:rFonts w:ascii="Times New Roman" w:hAnsi="Times New Roman" w:cs="Times New Roman"/>
          <w:sz w:val="28"/>
          <w:szCs w:val="28"/>
        </w:rPr>
        <w:t xml:space="preserve">сертификата ключа проверки электронной подписи, изготовлению усиленной квалифицированной электронной подписи для участия субъекта малого и среднего предпринимательства в аукционах (по аренде земли, по заключению договора на право размещения нестационарного торгового объекта, по заключению договора на осуществление торговой деятельности в нестационарном торговом объекте и т.д.), для работы в системе маркировки товаров средствами идентификации, а также оплата иных услуг по предоставлению электронной </w:t>
      </w:r>
      <w:r w:rsidRPr="001F5157">
        <w:rPr>
          <w:rFonts w:ascii="Times New Roman" w:hAnsi="Times New Roman" w:cs="Times New Roman"/>
          <w:sz w:val="28"/>
          <w:szCs w:val="28"/>
        </w:rPr>
        <w:lastRenderedPageBreak/>
        <w:t>подписи;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приобретение автомагазинов, автофургонов, автолавок, автоцистерн, автоприцепов для осуществления развозной торговли в отдаленных и труднодоступных населенных пунктах;</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shd w:val="clear" w:color="auto" w:fill="FFFFFF"/>
        </w:rPr>
        <w:t xml:space="preserve">- оплата аренды (субаренды) зданий, строений, сооружений, нежилых помещений, где осуществляется </w:t>
      </w:r>
      <w:r w:rsidRPr="001F5157">
        <w:rPr>
          <w:rFonts w:ascii="Times New Roman" w:hAnsi="Times New Roman" w:cs="Times New Roman"/>
          <w:color w:val="000000"/>
          <w:sz w:val="28"/>
          <w:szCs w:val="28"/>
        </w:rPr>
        <w:t>предпринимательская деятельность;</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rPr>
        <w:t>- оплата услуг по обращению с твердыми коммунальными отходами, оплата услуг электроснабжения, теплоснабжения, газоснабжения, горячего водоснабжения, холодного водоснабжения, водоотведения, необходимых для осуществления предпринимательской деятельности, за исключением оплаты услуг теплоснабжения, газоснабжения, горячего водоснабжения, холодного водоснабжения, водоотведения жилых помещений;</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rPr>
        <w:t xml:space="preserve">- оплата услуг по охране </w:t>
      </w:r>
      <w:r w:rsidRPr="001F5157">
        <w:rPr>
          <w:rFonts w:ascii="Times New Roman" w:hAnsi="Times New Roman" w:cs="Times New Roman"/>
          <w:color w:val="000000"/>
          <w:sz w:val="28"/>
          <w:szCs w:val="28"/>
          <w:shd w:val="clear" w:color="auto" w:fill="FFFFFF"/>
        </w:rPr>
        <w:t xml:space="preserve">зданий, строений, сооружений, нежилых помещений, где осуществляется </w:t>
      </w:r>
      <w:r w:rsidRPr="001F5157">
        <w:rPr>
          <w:rFonts w:ascii="Times New Roman" w:hAnsi="Times New Roman" w:cs="Times New Roman"/>
          <w:color w:val="000000"/>
          <w:sz w:val="28"/>
          <w:szCs w:val="28"/>
        </w:rPr>
        <w:t>предпринимательская деятельность, включая услуги по охране с использованием средств сигнализации;</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shd w:val="clear" w:color="auto" w:fill="FFFFFF"/>
        </w:rPr>
      </w:pPr>
      <w:r w:rsidRPr="001F5157">
        <w:rPr>
          <w:rFonts w:ascii="Times New Roman" w:hAnsi="Times New Roman" w:cs="Times New Roman"/>
          <w:color w:val="000000"/>
          <w:sz w:val="28"/>
          <w:szCs w:val="28"/>
        </w:rPr>
        <w:t xml:space="preserve">- приобретение устройств и оборудования для считывания (сканирования) кода товаров, маркированных средствами идентификации; оплата услуг на обновление и (или) приобретение </w:t>
      </w:r>
      <w:r w:rsidRPr="001F5157">
        <w:rPr>
          <w:rFonts w:ascii="Times New Roman" w:hAnsi="Times New Roman" w:cs="Times New Roman"/>
          <w:color w:val="000000"/>
          <w:sz w:val="28"/>
          <w:szCs w:val="28"/>
          <w:shd w:val="clear" w:color="auto" w:fill="FFFFFF"/>
        </w:rPr>
        <w:t>программного обеспечения, необходимого для работы с информационной системой маркировки и с участниками электронного документооборота, и (или) приобретение права на использование данного программного обеспечения; оплата услуг операторов электронного документооборота; оплата за генерацию кода маркировки, за создание кода идентификации; оплата услуг для доступа к системе маркировки, для работы в системе маркировки;</w:t>
      </w:r>
    </w:p>
    <w:p w:rsidR="008864A2" w:rsidRPr="001F5157" w:rsidRDefault="008864A2" w:rsidP="008864A2">
      <w:pPr>
        <w:pStyle w:val="ConsPlusNormal"/>
        <w:spacing w:line="360" w:lineRule="exact"/>
        <w:ind w:firstLine="709"/>
        <w:jc w:val="both"/>
        <w:rPr>
          <w:rFonts w:ascii="Times New Roman" w:hAnsi="Times New Roman" w:cs="Times New Roman"/>
          <w:color w:val="000000"/>
          <w:sz w:val="28"/>
          <w:szCs w:val="28"/>
        </w:rPr>
      </w:pPr>
      <w:r w:rsidRPr="001F5157">
        <w:rPr>
          <w:rFonts w:ascii="Times New Roman" w:hAnsi="Times New Roman" w:cs="Times New Roman"/>
          <w:color w:val="000000"/>
          <w:sz w:val="28"/>
          <w:szCs w:val="28"/>
          <w:shd w:val="clear" w:color="auto" w:fill="FFFFFF"/>
        </w:rPr>
        <w:t>- приобретение, установка временного сооружения и(или) временной конструкции киоска, павильона, относящихся к нестационарным торговым объектам.</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color w:val="000000"/>
          <w:sz w:val="28"/>
          <w:szCs w:val="28"/>
        </w:rPr>
        <w:t>С</w:t>
      </w:r>
      <w:r w:rsidRPr="001F5157">
        <w:rPr>
          <w:rFonts w:ascii="Times New Roman" w:hAnsi="Times New Roman" w:cs="Times New Roman"/>
          <w:sz w:val="28"/>
          <w:szCs w:val="28"/>
        </w:rPr>
        <w:t>убсидии предоставляются при наличии обоснованных и документально подтвержденных затрат, произведенных не ранее 01 января 2020 года.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В случае приобретения ККТ, автоматизированной системы для бланков строгой отчетности в 2019 году, но не ранее 02 июля 2019 года, субсидии предоставляются при наличии обоснованных и документально подтвержденных затрат, указанных в абзаце третьем пункта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произведенных не ранее 02 июля 2019 года.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Субсидирование затрат, указанных в абзаце седьмом пункта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производится при условии осуществления развозной торговли в отдаленных и труднодоступных населенных пунктах субъектами сферы розничной торговли.</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Субсидирование обоснованных и документально подтвержденных </w:t>
      </w:r>
      <w:r w:rsidRPr="001F5157">
        <w:rPr>
          <w:rFonts w:ascii="Times New Roman" w:hAnsi="Times New Roman" w:cs="Times New Roman"/>
          <w:sz w:val="28"/>
          <w:szCs w:val="28"/>
        </w:rPr>
        <w:lastRenderedPageBreak/>
        <w:t xml:space="preserve">затрат, указанных в абзацах восьмом-девятом пункта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осуществляется при условии, если они произведены за услуги, оказанные в апреле-июне 2020 года, а для сферы общественного питания - если затраты произведены за услуги, оказанные в апреле-августе 2020 года.</w:t>
      </w:r>
    </w:p>
    <w:p w:rsidR="008864A2" w:rsidRPr="001F5157" w:rsidRDefault="008864A2" w:rsidP="008864A2">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Субсидирование обоснованных и документально подтвержденных затрат, указанных в абзаце десятом пункта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xml:space="preserve">, производится при условии, если осуществляемая субъектом малого и среднего предпринимательства деятельность была временно приостановлена или ограничена на основании указа губернатора Пермского края от 29.03.2020 № 23 «О мероприятиях, реализуемых в связи с угрозой распространения новой </w:t>
      </w:r>
      <w:proofErr w:type="spellStart"/>
      <w:r w:rsidRPr="001F5157">
        <w:rPr>
          <w:rFonts w:ascii="Times New Roman" w:hAnsi="Times New Roman" w:cs="Times New Roman"/>
          <w:sz w:val="28"/>
          <w:szCs w:val="28"/>
        </w:rPr>
        <w:t>коронавирусной</w:t>
      </w:r>
      <w:proofErr w:type="spellEnd"/>
      <w:r w:rsidRPr="001F5157">
        <w:rPr>
          <w:rFonts w:ascii="Times New Roman" w:hAnsi="Times New Roman" w:cs="Times New Roman"/>
          <w:sz w:val="28"/>
          <w:szCs w:val="28"/>
        </w:rPr>
        <w:t xml:space="preserve"> инфекции (COVID-19) в Пермском крае», и затраты произведены за услуги, оказанные в апреле-июне 2020 года, а для сферы общественного питания - если затраты произведены за услуги, оказанные в апреле-августе 2020 года.</w:t>
      </w:r>
    </w:p>
    <w:p w:rsidR="008864A2" w:rsidRPr="001F5157" w:rsidRDefault="008864A2" w:rsidP="008864A2">
      <w:pPr>
        <w:autoSpaceDE w:val="0"/>
        <w:autoSpaceDN w:val="0"/>
        <w:adjustRightInd w:val="0"/>
        <w:spacing w:after="0"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xml:space="preserve">Субсидирование обоснованных и документально подтвержденных затрат, указанных в абзаце двенадцатом пункта 3.6 раздела 3 </w:t>
      </w:r>
      <w:r>
        <w:rPr>
          <w:rFonts w:ascii="Times New Roman" w:hAnsi="Times New Roman" w:cs="Times New Roman"/>
          <w:sz w:val="28"/>
          <w:szCs w:val="28"/>
        </w:rPr>
        <w:t>Положения</w:t>
      </w:r>
      <w:r w:rsidRPr="001F5157">
        <w:rPr>
          <w:rFonts w:ascii="Times New Roman" w:hAnsi="Times New Roman" w:cs="Times New Roman"/>
          <w:sz w:val="28"/>
          <w:szCs w:val="28"/>
        </w:rPr>
        <w:t>, производится при условии размещения нестационарного торгового объекта на территории Пермского муниципального района, и если его внешний облик соответствует типовому архитектурному решению к внешнему облику нестационарного торгового объекта, утвержденному приказом Министерства строительства и архитектуры Пермского края от 04.06.2018 № СЭД-35-01-12-138 «Об утверждении типовых архитектурных решений к внешнему облику нестационарных торговых объектов».</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Все расходы, связанные с подготовкой и представлением документов в Уполномоченный орган для участия в Отборе (далее – документы для участия в Отборе), несут субъекты малого и среднего предпринимательства.</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Представленные документы должны быть:</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 заверены подписью руководителя или его уполномоченного лица (с приложением документов, подтверждающих его полномочия, в соответствии с действующим законодательством);</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 сброшюрованы (или прошиты), пронумерованы и скреплены печатью (при наличии), за исключением одного экземпляра сопроводительного письма;</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Представленные документы при наличии оснований, указанных в абзаце первом пункта 4.12 раздела 4 Положения, возвращаются Участнику отбора только по его письменному заявлению.</w:t>
      </w:r>
    </w:p>
    <w:p w:rsidR="001B4BBE" w:rsidRPr="00043150" w:rsidRDefault="001B4BBE" w:rsidP="001B4BBE">
      <w:pPr>
        <w:pStyle w:val="ConsPlusNormal"/>
        <w:spacing w:line="360" w:lineRule="exact"/>
        <w:ind w:firstLine="709"/>
        <w:jc w:val="both"/>
        <w:rPr>
          <w:rFonts w:ascii="Times New Roman" w:hAnsi="Times New Roman" w:cs="Times New Roman"/>
          <w:sz w:val="28"/>
          <w:szCs w:val="28"/>
        </w:rPr>
      </w:pPr>
      <w:r w:rsidRPr="00043150">
        <w:rPr>
          <w:rFonts w:ascii="Times New Roman" w:hAnsi="Times New Roman" w:cs="Times New Roman"/>
          <w:sz w:val="28"/>
          <w:szCs w:val="28"/>
        </w:rPr>
        <w:t>Основанием для отказа в предоставлении субсидии получателю субсидии являются:</w:t>
      </w:r>
    </w:p>
    <w:p w:rsidR="001B4BBE" w:rsidRPr="00043150" w:rsidRDefault="001B4BBE" w:rsidP="001B4BBE">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43150">
        <w:rPr>
          <w:rFonts w:ascii="Times New Roman" w:hAnsi="Times New Roman" w:cs="Times New Roman"/>
          <w:sz w:val="28"/>
          <w:szCs w:val="28"/>
        </w:rPr>
        <w:t> несоответствие представленных получателем субсидии документов требованиям, определенным пунктом 4.1, 4.4 раздела 4 Положения, или непредставление (представление не в полном объеме) указанных документов;</w:t>
      </w:r>
    </w:p>
    <w:p w:rsidR="001B4BBE" w:rsidRDefault="001B4BBE" w:rsidP="001B4BBE">
      <w:pPr>
        <w:autoSpaceDE w:val="0"/>
        <w:autoSpaceDN w:val="0"/>
        <w:adjustRightInd w:val="0"/>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43150">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1B4BBE" w:rsidRPr="00CE0ED6" w:rsidRDefault="001B4BBE" w:rsidP="001B4BBE">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Победитель отбора</w:t>
      </w:r>
      <w:r w:rsidRPr="00CE0ED6">
        <w:rPr>
          <w:rFonts w:ascii="Times New Roman" w:hAnsi="Times New Roman" w:cs="Times New Roman"/>
          <w:sz w:val="28"/>
          <w:szCs w:val="28"/>
        </w:rPr>
        <w:t xml:space="preserve"> представляет в Уполномоченный орган в срок не позднее 2 (двух) рабочих дней со дня получения проекта Соглашения подписанное в двух экземплярах Соглашение.</w:t>
      </w:r>
    </w:p>
    <w:p w:rsidR="001B4BBE" w:rsidRPr="001F5157" w:rsidRDefault="001B4BBE" w:rsidP="001B4BBE">
      <w:pPr>
        <w:pStyle w:val="ConsPlusNormal"/>
        <w:spacing w:line="360" w:lineRule="exact"/>
        <w:ind w:firstLine="709"/>
        <w:jc w:val="both"/>
        <w:rPr>
          <w:rFonts w:ascii="Times New Roman" w:hAnsi="Times New Roman" w:cs="Times New Roman"/>
          <w:sz w:val="28"/>
          <w:szCs w:val="28"/>
        </w:rPr>
      </w:pPr>
      <w:bookmarkStart w:id="5" w:name="_GoBack"/>
      <w:bookmarkEnd w:id="5"/>
      <w:r w:rsidRPr="001F5157">
        <w:rPr>
          <w:rFonts w:ascii="Times New Roman" w:hAnsi="Times New Roman" w:cs="Times New Roman"/>
          <w:sz w:val="28"/>
          <w:szCs w:val="28"/>
        </w:rPr>
        <w:t>Для оценки результатов предоставленной субсидии установлены следующие показатели результативности:</w:t>
      </w:r>
    </w:p>
    <w:p w:rsidR="001B4BBE" w:rsidRPr="001F5157" w:rsidRDefault="001B4BBE" w:rsidP="001B4BBE">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количество вновь созданных рабочих мест получателями поддержки;</w:t>
      </w:r>
    </w:p>
    <w:p w:rsidR="001B4BBE" w:rsidRPr="001F5157" w:rsidRDefault="001B4BBE" w:rsidP="001B4BBE">
      <w:pPr>
        <w:pStyle w:val="ConsPlusNormal"/>
        <w:spacing w:line="360" w:lineRule="exact"/>
        <w:ind w:firstLine="709"/>
        <w:jc w:val="both"/>
        <w:rPr>
          <w:rFonts w:ascii="Times New Roman" w:hAnsi="Times New Roman" w:cs="Times New Roman"/>
          <w:sz w:val="28"/>
          <w:szCs w:val="28"/>
        </w:rPr>
      </w:pPr>
      <w:r w:rsidRPr="001F5157">
        <w:rPr>
          <w:rFonts w:ascii="Times New Roman" w:hAnsi="Times New Roman" w:cs="Times New Roman"/>
          <w:sz w:val="28"/>
          <w:szCs w:val="28"/>
        </w:rPr>
        <w:t>- количество сохраненных рабочих мест получателями поддержки.</w:t>
      </w:r>
    </w:p>
    <w:p w:rsidR="006274F2" w:rsidRDefault="006274F2"/>
    <w:sectPr w:rsidR="00627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A2"/>
    <w:rsid w:val="0003159B"/>
    <w:rsid w:val="001B4BBE"/>
    <w:rsid w:val="001D59FE"/>
    <w:rsid w:val="005E4886"/>
    <w:rsid w:val="006274F2"/>
    <w:rsid w:val="008864A2"/>
    <w:rsid w:val="00BE37A2"/>
    <w:rsid w:val="00DC1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8C64"/>
  <w15:chartTrackingRefBased/>
  <w15:docId w15:val="{8E03A8E5-3573-426D-8E3C-0F0B11B6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4A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basedOn w:val="a"/>
    <w:link w:val="a4"/>
    <w:rsid w:val="008864A2"/>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8864A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22F758C533BF3F733FDC2D33289A7A075C8D1B5148685D3B7F90E6150F4B4D1E4FFC44195F320138A0866F87BU9l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2020-10-19T09:39:00Z</dcterms:created>
  <dcterms:modified xsi:type="dcterms:W3CDTF">2020-10-19T10:00:00Z</dcterms:modified>
</cp:coreProperties>
</file>